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CD" w:rsidRDefault="002B48CD" w:rsidP="002B48CD">
      <w:pPr>
        <w:pStyle w:val="Default"/>
        <w:jc w:val="center"/>
        <w:rPr>
          <w:sz w:val="23"/>
          <w:szCs w:val="23"/>
        </w:rPr>
      </w:pPr>
      <w:bookmarkStart w:id="0" w:name="_GoBack"/>
      <w:bookmarkEnd w:id="0"/>
      <w:r>
        <w:rPr>
          <w:rFonts w:hint="eastAsia"/>
          <w:sz w:val="23"/>
          <w:szCs w:val="23"/>
        </w:rPr>
        <w:t>低入札価格調査の実施について</w:t>
      </w:r>
    </w:p>
    <w:p w:rsidR="002B48CD" w:rsidRDefault="002B48CD" w:rsidP="002B48CD">
      <w:pPr>
        <w:pStyle w:val="Default"/>
        <w:rPr>
          <w:sz w:val="23"/>
          <w:szCs w:val="23"/>
        </w:rPr>
      </w:pPr>
    </w:p>
    <w:p w:rsidR="002B48CD" w:rsidRDefault="002B48CD" w:rsidP="002B48CD">
      <w:pPr>
        <w:pStyle w:val="Default"/>
        <w:rPr>
          <w:sz w:val="23"/>
          <w:szCs w:val="23"/>
        </w:rPr>
      </w:pPr>
    </w:p>
    <w:p w:rsidR="002B48CD" w:rsidRDefault="002B48CD" w:rsidP="002B48CD">
      <w:pPr>
        <w:pStyle w:val="Default"/>
        <w:ind w:firstLineChars="100" w:firstLine="230"/>
        <w:rPr>
          <w:sz w:val="23"/>
          <w:szCs w:val="23"/>
        </w:rPr>
      </w:pPr>
      <w:r>
        <w:rPr>
          <w:rFonts w:hint="eastAsia"/>
          <w:sz w:val="23"/>
          <w:szCs w:val="23"/>
        </w:rPr>
        <w:t>最低制限価格を撤廃して最低基準価格とし、入札価格が最低基準価格を下回る場合であっても、即失格とせずに、低入札価格調査により契約内容に適合した履行がなされることが確認できれば、その者を落札者とする。</w:t>
      </w:r>
    </w:p>
    <w:p w:rsidR="002B48CD" w:rsidRDefault="002B48CD" w:rsidP="002B48CD">
      <w:pPr>
        <w:pStyle w:val="Default"/>
        <w:ind w:firstLineChars="100" w:firstLine="230"/>
        <w:rPr>
          <w:sz w:val="23"/>
          <w:szCs w:val="23"/>
        </w:rPr>
      </w:pPr>
      <w:r>
        <w:rPr>
          <w:rFonts w:hint="eastAsia"/>
          <w:sz w:val="23"/>
          <w:szCs w:val="23"/>
        </w:rPr>
        <w:t>入札の結果、最低基準価格を下回る入札が行われた場合には、入札者に対して「保留」と宣言し、最低基準価格を下回った者（以下「調査対象者」という。）に対し、次により低入札価格調査を実施する。</w:t>
      </w:r>
    </w:p>
    <w:p w:rsidR="002B48CD" w:rsidRDefault="002B48CD" w:rsidP="002B48CD">
      <w:pPr>
        <w:pStyle w:val="Default"/>
        <w:rPr>
          <w:sz w:val="23"/>
          <w:szCs w:val="23"/>
        </w:rPr>
      </w:pPr>
    </w:p>
    <w:p w:rsidR="002B48CD" w:rsidRDefault="002B48CD" w:rsidP="002B48CD">
      <w:pPr>
        <w:pStyle w:val="Default"/>
        <w:rPr>
          <w:sz w:val="23"/>
          <w:szCs w:val="23"/>
        </w:rPr>
      </w:pPr>
      <w:r>
        <w:rPr>
          <w:rFonts w:hint="eastAsia"/>
          <w:sz w:val="23"/>
          <w:szCs w:val="23"/>
        </w:rPr>
        <w:t>１　調査の方法</w:t>
      </w:r>
    </w:p>
    <w:p w:rsidR="002B48CD" w:rsidRDefault="002B48CD" w:rsidP="002B48CD">
      <w:pPr>
        <w:pStyle w:val="Default"/>
        <w:ind w:left="460" w:hangingChars="200" w:hanging="460"/>
        <w:rPr>
          <w:sz w:val="23"/>
          <w:szCs w:val="23"/>
        </w:rPr>
      </w:pPr>
      <w:r>
        <w:rPr>
          <w:rFonts w:hint="eastAsia"/>
          <w:sz w:val="23"/>
          <w:szCs w:val="23"/>
        </w:rPr>
        <w:t>（１）別表の調査項目の内容の中から、必要に応じて入札者からのヒアリング及び関係機関への照会等の調査を行う。</w:t>
      </w:r>
    </w:p>
    <w:p w:rsidR="002B48CD" w:rsidRDefault="002B48CD" w:rsidP="002B48CD">
      <w:pPr>
        <w:pStyle w:val="Default"/>
        <w:ind w:left="460" w:hangingChars="200" w:hanging="460"/>
        <w:rPr>
          <w:sz w:val="23"/>
          <w:szCs w:val="23"/>
        </w:rPr>
      </w:pPr>
      <w:r>
        <w:rPr>
          <w:rFonts w:hint="eastAsia"/>
          <w:sz w:val="23"/>
          <w:szCs w:val="23"/>
        </w:rPr>
        <w:t>（２）（１）に基づく調査を行うため、調査対象者は、原則として、入札の翌日から起算して５日以内（土曜日、日曜日、祝日を含まない）に、「低入札価格調査資料等作成要領」に従って提出資料を作成の上、提出する。</w:t>
      </w:r>
    </w:p>
    <w:p w:rsidR="002B48CD" w:rsidRDefault="002B48CD" w:rsidP="002B48CD">
      <w:pPr>
        <w:pStyle w:val="Default"/>
        <w:ind w:left="460" w:hangingChars="200" w:hanging="460"/>
        <w:rPr>
          <w:sz w:val="23"/>
          <w:szCs w:val="23"/>
        </w:rPr>
      </w:pPr>
      <w:r>
        <w:rPr>
          <w:rFonts w:hint="eastAsia"/>
          <w:sz w:val="23"/>
          <w:szCs w:val="23"/>
        </w:rPr>
        <w:t>（３）契約内容に適合した履行がなされないおそれがあるか否かを確認するため、必要に応じて、提出資料以外の説明資料の提出を求めることがある。</w:t>
      </w:r>
    </w:p>
    <w:p w:rsidR="002B48CD" w:rsidRDefault="002B48CD" w:rsidP="002B48CD">
      <w:pPr>
        <w:pStyle w:val="Default"/>
        <w:ind w:left="460" w:hangingChars="200" w:hanging="460"/>
        <w:rPr>
          <w:sz w:val="23"/>
          <w:szCs w:val="23"/>
        </w:rPr>
      </w:pPr>
      <w:r>
        <w:rPr>
          <w:rFonts w:hint="eastAsia"/>
          <w:sz w:val="23"/>
          <w:szCs w:val="23"/>
        </w:rPr>
        <w:t>（４）調査対象者は、（２）及び（３）の資料のほか、契約の内容に適合した履行が可能であることを立証するために必要と認める任意の資料をあわせて提出することができる。</w:t>
      </w:r>
    </w:p>
    <w:p w:rsidR="002B48CD" w:rsidRDefault="002B48CD" w:rsidP="002B48CD">
      <w:pPr>
        <w:pStyle w:val="Default"/>
        <w:ind w:left="460" w:hangingChars="200" w:hanging="460"/>
        <w:rPr>
          <w:sz w:val="23"/>
          <w:szCs w:val="23"/>
        </w:rPr>
      </w:pPr>
      <w:r>
        <w:rPr>
          <w:rFonts w:hint="eastAsia"/>
          <w:sz w:val="23"/>
          <w:szCs w:val="23"/>
        </w:rPr>
        <w:t>（５）（２）の資料の提出後、速やかに、入札者により契約の内容に適合した履行がなされないおそれがあるか否かを確認するため、調査対象者に対してヒアリングを行うことがある。なお、ヒアリングの日時及び場所は調査対象者に追って通知する。</w:t>
      </w:r>
    </w:p>
    <w:p w:rsidR="002B48CD" w:rsidRDefault="002B48CD" w:rsidP="002B48CD">
      <w:pPr>
        <w:pStyle w:val="Default"/>
        <w:rPr>
          <w:sz w:val="23"/>
          <w:szCs w:val="23"/>
        </w:rPr>
      </w:pPr>
    </w:p>
    <w:p w:rsidR="002B48CD" w:rsidRDefault="002B48CD" w:rsidP="002B48CD">
      <w:pPr>
        <w:pStyle w:val="Default"/>
        <w:rPr>
          <w:sz w:val="23"/>
          <w:szCs w:val="23"/>
        </w:rPr>
      </w:pPr>
      <w:r>
        <w:rPr>
          <w:rFonts w:hint="eastAsia"/>
          <w:sz w:val="23"/>
          <w:szCs w:val="23"/>
        </w:rPr>
        <w:t>２　留意事項</w:t>
      </w:r>
    </w:p>
    <w:p w:rsidR="002B48CD" w:rsidRDefault="002B48CD" w:rsidP="002B48CD">
      <w:pPr>
        <w:pStyle w:val="Default"/>
        <w:ind w:left="460" w:hangingChars="200" w:hanging="460"/>
        <w:rPr>
          <w:sz w:val="23"/>
          <w:szCs w:val="23"/>
        </w:rPr>
      </w:pPr>
      <w:r>
        <w:rPr>
          <w:rFonts w:hint="eastAsia"/>
          <w:sz w:val="23"/>
          <w:szCs w:val="23"/>
        </w:rPr>
        <w:t>（１）低入札価格調査は、最低の価格をもって入札した者のほか、最低基準価格を下回る複数の者について並行して行うことがあるので、調査の対象者は、これに協力しなければならない。</w:t>
      </w:r>
    </w:p>
    <w:p w:rsidR="002B48CD" w:rsidRDefault="002B48CD" w:rsidP="002B48CD">
      <w:pPr>
        <w:pStyle w:val="Default"/>
        <w:ind w:left="460" w:hangingChars="200" w:hanging="460"/>
        <w:rPr>
          <w:sz w:val="23"/>
          <w:szCs w:val="23"/>
        </w:rPr>
      </w:pPr>
      <w:r>
        <w:rPr>
          <w:rFonts w:hint="eastAsia"/>
          <w:sz w:val="23"/>
          <w:szCs w:val="23"/>
        </w:rPr>
        <w:t>（２）上記１（２）及び（３）の資料を期限までに提出しない場合又は上記１（５）のヒアリングに応じない場合など低入札価格調査に協力しない場合は、競争入札参加者心得第６の規定に違反するものとして入札を無効とする。また、調査対象者が資料等を提出せず、又はヒアリングに応じなかった場合には、「建設工事の請負契約に係る指名停止等の措置要領」（平成１８年１月２０日付け１７文科施第３４５号大臣官房文教施設企画部長通知。以下、「指名停止措置」という。）別表第二第１５号に該当することがある。</w:t>
      </w:r>
    </w:p>
    <w:p w:rsidR="002B48CD" w:rsidRDefault="002B48CD" w:rsidP="002B48CD">
      <w:pPr>
        <w:pStyle w:val="Default"/>
        <w:ind w:left="460" w:hangingChars="200" w:hanging="460"/>
        <w:rPr>
          <w:sz w:val="23"/>
          <w:szCs w:val="23"/>
        </w:rPr>
      </w:pPr>
      <w:r>
        <w:rPr>
          <w:rFonts w:hint="eastAsia"/>
          <w:sz w:val="23"/>
          <w:szCs w:val="23"/>
        </w:rPr>
        <w:t>（３）調査対象者が当該調査において虚偽の資料提出若しくは説明を行ったことが明らかとなった場合は、指名停止措置を講ずることがある。</w:t>
      </w:r>
    </w:p>
    <w:p w:rsidR="002B48CD" w:rsidRDefault="002B48CD" w:rsidP="002B48CD">
      <w:pPr>
        <w:pStyle w:val="Default"/>
        <w:pageBreakBefore/>
        <w:kinsoku w:val="0"/>
        <w:ind w:left="460" w:hangingChars="200" w:hanging="460"/>
        <w:rPr>
          <w:sz w:val="23"/>
          <w:szCs w:val="23"/>
        </w:rPr>
      </w:pPr>
      <w:r>
        <w:rPr>
          <w:rFonts w:hint="eastAsia"/>
          <w:sz w:val="23"/>
          <w:szCs w:val="23"/>
        </w:rPr>
        <w:lastRenderedPageBreak/>
        <w:t>（４）低入札価格調査を受けた者との契約については、その契約の保証については請負代金額の１０分の３以上とする。</w:t>
      </w:r>
    </w:p>
    <w:p w:rsidR="002B48CD" w:rsidRDefault="002B48CD" w:rsidP="002B48CD">
      <w:pPr>
        <w:pStyle w:val="Default"/>
        <w:ind w:leftChars="200" w:left="420" w:firstLineChars="100" w:firstLine="230"/>
        <w:rPr>
          <w:sz w:val="23"/>
          <w:szCs w:val="23"/>
        </w:rPr>
      </w:pPr>
      <w:r>
        <w:rPr>
          <w:rFonts w:hint="eastAsia"/>
          <w:sz w:val="23"/>
          <w:szCs w:val="23"/>
        </w:rPr>
        <w:t>なお、この場合においては、工事請負契約書別記工事請負契約基準第４条第　２項及び第５項中「１０分の１」を「１０分の３」とし、同基準第３３条第１項中「１０分の４」を「１０分の２」とし、第</w:t>
      </w:r>
      <w:r w:rsidR="00D63FA3">
        <w:rPr>
          <w:rFonts w:hint="eastAsia"/>
          <w:sz w:val="23"/>
          <w:szCs w:val="23"/>
        </w:rPr>
        <w:t>３</w:t>
      </w:r>
      <w:r>
        <w:rPr>
          <w:rFonts w:hint="eastAsia"/>
          <w:sz w:val="23"/>
          <w:szCs w:val="23"/>
        </w:rPr>
        <w:t>項、第</w:t>
      </w:r>
      <w:r w:rsidR="00D63FA3">
        <w:rPr>
          <w:rFonts w:hint="eastAsia"/>
          <w:sz w:val="23"/>
          <w:szCs w:val="23"/>
        </w:rPr>
        <w:t>４</w:t>
      </w:r>
      <w:r>
        <w:rPr>
          <w:rFonts w:hint="eastAsia"/>
          <w:sz w:val="23"/>
          <w:szCs w:val="23"/>
        </w:rPr>
        <w:t>項及び第</w:t>
      </w:r>
      <w:r w:rsidR="00D63FA3">
        <w:rPr>
          <w:rFonts w:hint="eastAsia"/>
          <w:sz w:val="23"/>
          <w:szCs w:val="23"/>
        </w:rPr>
        <w:t>５</w:t>
      </w:r>
      <w:r>
        <w:rPr>
          <w:rFonts w:hint="eastAsia"/>
          <w:sz w:val="23"/>
          <w:szCs w:val="23"/>
        </w:rPr>
        <w:t>項もこれに準じて割合を変更する。</w:t>
      </w:r>
    </w:p>
    <w:p w:rsidR="002B48CD" w:rsidRDefault="002B48CD" w:rsidP="002B48CD">
      <w:pPr>
        <w:pStyle w:val="Default"/>
        <w:rPr>
          <w:sz w:val="23"/>
          <w:szCs w:val="23"/>
        </w:rPr>
      </w:pPr>
      <w:r>
        <w:rPr>
          <w:rFonts w:hint="eastAsia"/>
          <w:sz w:val="23"/>
          <w:szCs w:val="23"/>
        </w:rPr>
        <w:t>（５）調査期間に伴う当該工事の工期延長は行わない。</w:t>
      </w:r>
    </w:p>
    <w:tbl>
      <w:tblPr>
        <w:tblW w:w="8613" w:type="dxa"/>
        <w:tblInd w:w="-108" w:type="dxa"/>
        <w:tblBorders>
          <w:top w:val="nil"/>
          <w:left w:val="nil"/>
          <w:bottom w:val="nil"/>
          <w:right w:val="nil"/>
        </w:tblBorders>
        <w:tblLayout w:type="fixed"/>
        <w:tblLook w:val="0000" w:firstRow="0" w:lastRow="0" w:firstColumn="0" w:lastColumn="0" w:noHBand="0" w:noVBand="0"/>
      </w:tblPr>
      <w:tblGrid>
        <w:gridCol w:w="8613"/>
      </w:tblGrid>
      <w:tr w:rsidR="002B48CD" w:rsidTr="002B48CD">
        <w:trPr>
          <w:trHeight w:val="110"/>
        </w:trPr>
        <w:tc>
          <w:tcPr>
            <w:tcW w:w="8613" w:type="dxa"/>
          </w:tcPr>
          <w:p w:rsidR="002B48CD" w:rsidRDefault="002B48CD">
            <w:pPr>
              <w:pStyle w:val="Default"/>
              <w:rPr>
                <w:sz w:val="23"/>
                <w:szCs w:val="23"/>
              </w:rPr>
            </w:pPr>
          </w:p>
          <w:p w:rsidR="002B48CD" w:rsidRDefault="002B48CD">
            <w:pPr>
              <w:pStyle w:val="Default"/>
              <w:rPr>
                <w:sz w:val="23"/>
                <w:szCs w:val="23"/>
              </w:rPr>
            </w:pPr>
            <w:r w:rsidRPr="002B48CD">
              <w:rPr>
                <w:rFonts w:hint="eastAsia"/>
                <w:sz w:val="23"/>
                <w:szCs w:val="23"/>
              </w:rPr>
              <w:t>【別表】</w:t>
            </w:r>
          </w:p>
          <w:tbl>
            <w:tblPr>
              <w:tblStyle w:val="a3"/>
              <w:tblW w:w="6237" w:type="dxa"/>
              <w:tblInd w:w="421" w:type="dxa"/>
              <w:tblLayout w:type="fixed"/>
              <w:tblLook w:val="04A0" w:firstRow="1" w:lastRow="0" w:firstColumn="1" w:lastColumn="0" w:noHBand="0" w:noVBand="1"/>
            </w:tblPr>
            <w:tblGrid>
              <w:gridCol w:w="6237"/>
            </w:tblGrid>
            <w:tr w:rsidR="002B48CD" w:rsidTr="002B48CD">
              <w:tc>
                <w:tcPr>
                  <w:tcW w:w="6237" w:type="dxa"/>
                </w:tcPr>
                <w:p w:rsidR="002B48CD" w:rsidRDefault="002B48CD">
                  <w:pPr>
                    <w:pStyle w:val="Default"/>
                    <w:rPr>
                      <w:sz w:val="23"/>
                      <w:szCs w:val="23"/>
                    </w:rPr>
                  </w:pPr>
                  <w:r w:rsidRPr="002B48CD">
                    <w:rPr>
                      <w:rFonts w:hint="eastAsia"/>
                      <w:sz w:val="23"/>
                      <w:szCs w:val="23"/>
                    </w:rPr>
                    <w:t>調査項目</w:t>
                  </w:r>
                </w:p>
              </w:tc>
            </w:tr>
            <w:tr w:rsidR="002B48CD" w:rsidTr="002B48CD">
              <w:tc>
                <w:tcPr>
                  <w:tcW w:w="6237" w:type="dxa"/>
                </w:tcPr>
                <w:p w:rsidR="002B48CD" w:rsidRDefault="002B48CD">
                  <w:pPr>
                    <w:pStyle w:val="Default"/>
                    <w:rPr>
                      <w:sz w:val="23"/>
                      <w:szCs w:val="23"/>
                    </w:rPr>
                  </w:pPr>
                  <w:r w:rsidRPr="002B48CD">
                    <w:rPr>
                      <w:rFonts w:hint="eastAsia"/>
                      <w:sz w:val="23"/>
                      <w:szCs w:val="23"/>
                    </w:rPr>
                    <w:t>①</w:t>
                  </w:r>
                  <w:r>
                    <w:rPr>
                      <w:rFonts w:hint="eastAsia"/>
                      <w:sz w:val="23"/>
                      <w:szCs w:val="23"/>
                    </w:rPr>
                    <w:t xml:space="preserve">　</w:t>
                  </w:r>
                  <w:r w:rsidRPr="002B48CD">
                    <w:rPr>
                      <w:rFonts w:hint="eastAsia"/>
                      <w:sz w:val="23"/>
                      <w:szCs w:val="23"/>
                    </w:rPr>
                    <w:t>その価格により入札した理由</w:t>
                  </w:r>
                </w:p>
              </w:tc>
            </w:tr>
            <w:tr w:rsidR="002B48CD" w:rsidTr="002B48CD">
              <w:tc>
                <w:tcPr>
                  <w:tcW w:w="6237" w:type="dxa"/>
                </w:tcPr>
                <w:p w:rsidR="002B48CD" w:rsidRDefault="002B48CD">
                  <w:pPr>
                    <w:pStyle w:val="Default"/>
                    <w:rPr>
                      <w:sz w:val="23"/>
                      <w:szCs w:val="23"/>
                    </w:rPr>
                  </w:pPr>
                  <w:r w:rsidRPr="002B48CD">
                    <w:rPr>
                      <w:rFonts w:hint="eastAsia"/>
                      <w:sz w:val="23"/>
                      <w:szCs w:val="23"/>
                    </w:rPr>
                    <w:t>②</w:t>
                  </w:r>
                  <w:r>
                    <w:rPr>
                      <w:rFonts w:hint="eastAsia"/>
                      <w:sz w:val="23"/>
                      <w:szCs w:val="23"/>
                    </w:rPr>
                    <w:t xml:space="preserve">　</w:t>
                  </w:r>
                  <w:r w:rsidRPr="002B48CD">
                    <w:rPr>
                      <w:rFonts w:hint="eastAsia"/>
                      <w:sz w:val="23"/>
                      <w:szCs w:val="23"/>
                    </w:rPr>
                    <w:t>契約対象工事付近における手持ち工事の状況</w:t>
                  </w:r>
                </w:p>
              </w:tc>
            </w:tr>
            <w:tr w:rsidR="002B48CD" w:rsidTr="002B48CD">
              <w:tc>
                <w:tcPr>
                  <w:tcW w:w="6237" w:type="dxa"/>
                </w:tcPr>
                <w:p w:rsidR="002B48CD" w:rsidRDefault="002B48CD">
                  <w:pPr>
                    <w:pStyle w:val="Default"/>
                    <w:rPr>
                      <w:sz w:val="23"/>
                      <w:szCs w:val="23"/>
                    </w:rPr>
                  </w:pPr>
                  <w:r w:rsidRPr="002B48CD">
                    <w:rPr>
                      <w:rFonts w:hint="eastAsia"/>
                      <w:sz w:val="23"/>
                      <w:szCs w:val="23"/>
                    </w:rPr>
                    <w:t>③</w:t>
                  </w:r>
                  <w:r>
                    <w:rPr>
                      <w:rFonts w:hint="eastAsia"/>
                      <w:sz w:val="23"/>
                      <w:szCs w:val="23"/>
                    </w:rPr>
                    <w:t xml:space="preserve">　</w:t>
                  </w:r>
                  <w:r w:rsidRPr="002B48CD">
                    <w:rPr>
                      <w:rFonts w:hint="eastAsia"/>
                      <w:sz w:val="23"/>
                      <w:szCs w:val="23"/>
                    </w:rPr>
                    <w:t>契約対象工事に関連する手持ち工事の状況</w:t>
                  </w:r>
                </w:p>
              </w:tc>
            </w:tr>
            <w:tr w:rsidR="002B48CD" w:rsidTr="002B48CD">
              <w:tc>
                <w:tcPr>
                  <w:tcW w:w="6237" w:type="dxa"/>
                </w:tcPr>
                <w:p w:rsidR="002B48CD" w:rsidRDefault="002B48CD">
                  <w:pPr>
                    <w:pStyle w:val="Default"/>
                    <w:rPr>
                      <w:sz w:val="23"/>
                      <w:szCs w:val="23"/>
                    </w:rPr>
                  </w:pPr>
                  <w:r w:rsidRPr="002B48CD">
                    <w:rPr>
                      <w:rFonts w:hint="eastAsia"/>
                      <w:sz w:val="23"/>
                      <w:szCs w:val="23"/>
                    </w:rPr>
                    <w:t>④</w:t>
                  </w:r>
                  <w:r>
                    <w:rPr>
                      <w:rFonts w:hint="eastAsia"/>
                      <w:sz w:val="23"/>
                      <w:szCs w:val="23"/>
                    </w:rPr>
                    <w:t xml:space="preserve">　</w:t>
                  </w:r>
                  <w:r w:rsidRPr="002B48CD">
                    <w:rPr>
                      <w:rFonts w:hint="eastAsia"/>
                      <w:sz w:val="23"/>
                      <w:szCs w:val="23"/>
                    </w:rPr>
                    <w:t>契約対象工事箇所と入札者の事務所、倉庫等との関連</w:t>
                  </w:r>
                </w:p>
              </w:tc>
            </w:tr>
            <w:tr w:rsidR="002B48CD" w:rsidTr="002B48CD">
              <w:tc>
                <w:tcPr>
                  <w:tcW w:w="6237" w:type="dxa"/>
                </w:tcPr>
                <w:p w:rsidR="002B48CD" w:rsidRDefault="002B48CD">
                  <w:pPr>
                    <w:pStyle w:val="Default"/>
                    <w:rPr>
                      <w:sz w:val="23"/>
                      <w:szCs w:val="23"/>
                    </w:rPr>
                  </w:pPr>
                  <w:r w:rsidRPr="002B48CD">
                    <w:rPr>
                      <w:rFonts w:hint="eastAsia"/>
                      <w:sz w:val="23"/>
                      <w:szCs w:val="23"/>
                    </w:rPr>
                    <w:t>⑤</w:t>
                  </w:r>
                  <w:r>
                    <w:rPr>
                      <w:rFonts w:hint="eastAsia"/>
                      <w:sz w:val="23"/>
                      <w:szCs w:val="23"/>
                    </w:rPr>
                    <w:t xml:space="preserve">　</w:t>
                  </w:r>
                  <w:r w:rsidRPr="002B48CD">
                    <w:rPr>
                      <w:rFonts w:hint="eastAsia"/>
                      <w:sz w:val="23"/>
                      <w:szCs w:val="23"/>
                    </w:rPr>
                    <w:t>手持ち資材の状況</w:t>
                  </w:r>
                </w:p>
              </w:tc>
            </w:tr>
            <w:tr w:rsidR="002B48CD" w:rsidTr="002B48CD">
              <w:tc>
                <w:tcPr>
                  <w:tcW w:w="6237" w:type="dxa"/>
                </w:tcPr>
                <w:p w:rsidR="002B48CD" w:rsidRDefault="002B48CD">
                  <w:pPr>
                    <w:pStyle w:val="Default"/>
                    <w:rPr>
                      <w:sz w:val="23"/>
                      <w:szCs w:val="23"/>
                    </w:rPr>
                  </w:pPr>
                  <w:r w:rsidRPr="002B48CD">
                    <w:rPr>
                      <w:rFonts w:hint="eastAsia"/>
                      <w:sz w:val="23"/>
                      <w:szCs w:val="23"/>
                    </w:rPr>
                    <w:t>⑥</w:t>
                  </w:r>
                  <w:r>
                    <w:rPr>
                      <w:rFonts w:hint="eastAsia"/>
                      <w:sz w:val="23"/>
                      <w:szCs w:val="23"/>
                    </w:rPr>
                    <w:t xml:space="preserve">　</w:t>
                  </w:r>
                  <w:r w:rsidRPr="002B48CD">
                    <w:rPr>
                      <w:rFonts w:hint="eastAsia"/>
                      <w:sz w:val="23"/>
                      <w:szCs w:val="23"/>
                    </w:rPr>
                    <w:t>資材購入先及び購入先と入札者の関係</w:t>
                  </w:r>
                </w:p>
              </w:tc>
            </w:tr>
            <w:tr w:rsidR="002B48CD" w:rsidTr="002B48CD">
              <w:tc>
                <w:tcPr>
                  <w:tcW w:w="6237" w:type="dxa"/>
                </w:tcPr>
                <w:p w:rsidR="002B48CD" w:rsidRDefault="002B48CD">
                  <w:pPr>
                    <w:pStyle w:val="Default"/>
                    <w:rPr>
                      <w:sz w:val="23"/>
                      <w:szCs w:val="23"/>
                    </w:rPr>
                  </w:pPr>
                  <w:r w:rsidRPr="002B48CD">
                    <w:rPr>
                      <w:rFonts w:hint="eastAsia"/>
                      <w:sz w:val="23"/>
                      <w:szCs w:val="23"/>
                    </w:rPr>
                    <w:t>⑦</w:t>
                  </w:r>
                  <w:r>
                    <w:rPr>
                      <w:rFonts w:hint="eastAsia"/>
                      <w:sz w:val="23"/>
                      <w:szCs w:val="23"/>
                    </w:rPr>
                    <w:t xml:space="preserve">　</w:t>
                  </w:r>
                  <w:r w:rsidRPr="002B48CD">
                    <w:rPr>
                      <w:rFonts w:hint="eastAsia"/>
                      <w:sz w:val="23"/>
                      <w:szCs w:val="23"/>
                    </w:rPr>
                    <w:t>手持ち機械数の状況</w:t>
                  </w:r>
                </w:p>
              </w:tc>
            </w:tr>
            <w:tr w:rsidR="002B48CD" w:rsidTr="002B48CD">
              <w:tc>
                <w:tcPr>
                  <w:tcW w:w="6237" w:type="dxa"/>
                </w:tcPr>
                <w:p w:rsidR="002B48CD" w:rsidRDefault="002B48CD">
                  <w:pPr>
                    <w:pStyle w:val="Default"/>
                    <w:rPr>
                      <w:sz w:val="23"/>
                      <w:szCs w:val="23"/>
                    </w:rPr>
                  </w:pPr>
                  <w:r w:rsidRPr="002B48CD">
                    <w:rPr>
                      <w:rFonts w:hint="eastAsia"/>
                      <w:sz w:val="23"/>
                      <w:szCs w:val="23"/>
                    </w:rPr>
                    <w:t>⑧</w:t>
                  </w:r>
                  <w:r>
                    <w:rPr>
                      <w:rFonts w:hint="eastAsia"/>
                      <w:sz w:val="23"/>
                      <w:szCs w:val="23"/>
                    </w:rPr>
                    <w:t xml:space="preserve">　</w:t>
                  </w:r>
                  <w:r w:rsidRPr="002B48CD">
                    <w:rPr>
                      <w:rFonts w:hint="eastAsia"/>
                      <w:sz w:val="23"/>
                      <w:szCs w:val="23"/>
                    </w:rPr>
                    <w:t>労務者の具体的供給見通し</w:t>
                  </w:r>
                </w:p>
              </w:tc>
            </w:tr>
            <w:tr w:rsidR="002B48CD" w:rsidTr="002B48CD">
              <w:tc>
                <w:tcPr>
                  <w:tcW w:w="6237" w:type="dxa"/>
                </w:tcPr>
                <w:p w:rsidR="002B48CD" w:rsidRDefault="002B48CD">
                  <w:pPr>
                    <w:pStyle w:val="Default"/>
                    <w:rPr>
                      <w:sz w:val="23"/>
                      <w:szCs w:val="23"/>
                    </w:rPr>
                  </w:pPr>
                  <w:r w:rsidRPr="002B48CD">
                    <w:rPr>
                      <w:rFonts w:hint="eastAsia"/>
                      <w:sz w:val="23"/>
                      <w:szCs w:val="23"/>
                    </w:rPr>
                    <w:t>⑨</w:t>
                  </w:r>
                  <w:r>
                    <w:rPr>
                      <w:rFonts w:hint="eastAsia"/>
                      <w:sz w:val="23"/>
                      <w:szCs w:val="23"/>
                    </w:rPr>
                    <w:t xml:space="preserve">　</w:t>
                  </w:r>
                  <w:r w:rsidRPr="002B48CD">
                    <w:rPr>
                      <w:rFonts w:hint="eastAsia"/>
                      <w:sz w:val="23"/>
                      <w:szCs w:val="23"/>
                    </w:rPr>
                    <w:t>過去に施工した公共工事名及び発注者</w:t>
                  </w:r>
                </w:p>
              </w:tc>
            </w:tr>
            <w:tr w:rsidR="002B48CD" w:rsidTr="002B48CD">
              <w:tc>
                <w:tcPr>
                  <w:tcW w:w="6237" w:type="dxa"/>
                </w:tcPr>
                <w:p w:rsidR="002B48CD" w:rsidRDefault="002B48CD">
                  <w:pPr>
                    <w:pStyle w:val="Default"/>
                    <w:rPr>
                      <w:sz w:val="23"/>
                      <w:szCs w:val="23"/>
                    </w:rPr>
                  </w:pPr>
                  <w:r w:rsidRPr="002B48CD">
                    <w:rPr>
                      <w:rFonts w:hint="eastAsia"/>
                      <w:sz w:val="23"/>
                      <w:szCs w:val="23"/>
                    </w:rPr>
                    <w:t>⑩</w:t>
                  </w:r>
                  <w:r>
                    <w:rPr>
                      <w:rFonts w:hint="eastAsia"/>
                      <w:sz w:val="23"/>
                      <w:szCs w:val="23"/>
                    </w:rPr>
                    <w:t xml:space="preserve">　</w:t>
                  </w:r>
                  <w:r w:rsidRPr="002B48CD">
                    <w:rPr>
                      <w:rFonts w:hint="eastAsia"/>
                      <w:sz w:val="23"/>
                      <w:szCs w:val="23"/>
                    </w:rPr>
                    <w:t>経営内容</w:t>
                  </w:r>
                </w:p>
              </w:tc>
            </w:tr>
            <w:tr w:rsidR="002B48CD" w:rsidTr="002B48CD">
              <w:tc>
                <w:tcPr>
                  <w:tcW w:w="6237" w:type="dxa"/>
                </w:tcPr>
                <w:p w:rsidR="002B48CD" w:rsidRDefault="002B48CD">
                  <w:pPr>
                    <w:pStyle w:val="Default"/>
                    <w:rPr>
                      <w:sz w:val="23"/>
                      <w:szCs w:val="23"/>
                    </w:rPr>
                  </w:pPr>
                  <w:r w:rsidRPr="002B48CD">
                    <w:rPr>
                      <w:rFonts w:hint="eastAsia"/>
                      <w:sz w:val="23"/>
                      <w:szCs w:val="23"/>
                    </w:rPr>
                    <w:t>⑪</w:t>
                  </w:r>
                  <w:r>
                    <w:rPr>
                      <w:rFonts w:hint="eastAsia"/>
                      <w:sz w:val="23"/>
                      <w:szCs w:val="23"/>
                    </w:rPr>
                    <w:t xml:space="preserve">　</w:t>
                  </w:r>
                  <w:r w:rsidRPr="002B48CD">
                    <w:rPr>
                      <w:rFonts w:hint="eastAsia"/>
                      <w:sz w:val="23"/>
                      <w:szCs w:val="23"/>
                    </w:rPr>
                    <w:t>経営状況</w:t>
                  </w:r>
                </w:p>
              </w:tc>
            </w:tr>
            <w:tr w:rsidR="002B48CD" w:rsidTr="002B48CD">
              <w:tc>
                <w:tcPr>
                  <w:tcW w:w="6237" w:type="dxa"/>
                </w:tcPr>
                <w:p w:rsidR="002B48CD" w:rsidRDefault="002B48CD">
                  <w:pPr>
                    <w:pStyle w:val="Default"/>
                    <w:rPr>
                      <w:sz w:val="23"/>
                      <w:szCs w:val="23"/>
                    </w:rPr>
                  </w:pPr>
                  <w:r w:rsidRPr="002B48CD">
                    <w:rPr>
                      <w:rFonts w:hint="eastAsia"/>
                      <w:sz w:val="23"/>
                      <w:szCs w:val="23"/>
                    </w:rPr>
                    <w:t>⑫</w:t>
                  </w:r>
                  <w:r>
                    <w:rPr>
                      <w:rFonts w:hint="eastAsia"/>
                      <w:sz w:val="23"/>
                      <w:szCs w:val="23"/>
                    </w:rPr>
                    <w:t xml:space="preserve">　</w:t>
                  </w:r>
                  <w:r w:rsidRPr="002B48CD">
                    <w:rPr>
                      <w:rFonts w:hint="eastAsia"/>
                      <w:sz w:val="23"/>
                      <w:szCs w:val="23"/>
                    </w:rPr>
                    <w:t>信用状況</w:t>
                  </w:r>
                </w:p>
              </w:tc>
            </w:tr>
            <w:tr w:rsidR="002B48CD" w:rsidTr="002B48CD">
              <w:tc>
                <w:tcPr>
                  <w:tcW w:w="6237" w:type="dxa"/>
                </w:tcPr>
                <w:p w:rsidR="002B48CD" w:rsidRDefault="002B48CD">
                  <w:pPr>
                    <w:pStyle w:val="Default"/>
                    <w:rPr>
                      <w:sz w:val="23"/>
                      <w:szCs w:val="23"/>
                    </w:rPr>
                  </w:pPr>
                  <w:r w:rsidRPr="002B48CD">
                    <w:rPr>
                      <w:rFonts w:hint="eastAsia"/>
                      <w:sz w:val="23"/>
                      <w:szCs w:val="23"/>
                    </w:rPr>
                    <w:t>⑬</w:t>
                  </w:r>
                  <w:r>
                    <w:rPr>
                      <w:rFonts w:hint="eastAsia"/>
                      <w:sz w:val="23"/>
                      <w:szCs w:val="23"/>
                    </w:rPr>
                    <w:t xml:space="preserve">　</w:t>
                  </w:r>
                  <w:r w:rsidRPr="002B48CD">
                    <w:rPr>
                      <w:rFonts w:hint="eastAsia"/>
                      <w:sz w:val="23"/>
                      <w:szCs w:val="23"/>
                    </w:rPr>
                    <w:t>その他必要な事項</w:t>
                  </w:r>
                </w:p>
              </w:tc>
            </w:tr>
          </w:tbl>
          <w:p w:rsidR="002B48CD" w:rsidRDefault="002B48CD">
            <w:pPr>
              <w:pStyle w:val="Default"/>
              <w:rPr>
                <w:sz w:val="22"/>
                <w:szCs w:val="22"/>
              </w:rPr>
            </w:pPr>
          </w:p>
        </w:tc>
      </w:tr>
    </w:tbl>
    <w:p w:rsidR="007B4C0E" w:rsidRDefault="007B4C0E"/>
    <w:sectPr w:rsidR="007B4C0E" w:rsidSect="002B48CD">
      <w:pgSz w:w="11906" w:h="16838"/>
      <w:pgMar w:top="1560"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CD"/>
    <w:rsid w:val="002B48CD"/>
    <w:rsid w:val="007B4C0E"/>
    <w:rsid w:val="00D63FA3"/>
    <w:rsid w:val="00E17932"/>
    <w:rsid w:val="00EB2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83A261-CA53-470D-8B9D-E9030FCF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8C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B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3F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3F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秀和</dc:creator>
  <cp:keywords/>
  <dc:description/>
  <cp:lastModifiedBy>kanri2</cp:lastModifiedBy>
  <cp:revision>2</cp:revision>
  <cp:lastPrinted>2017-07-13T08:05:00Z</cp:lastPrinted>
  <dcterms:created xsi:type="dcterms:W3CDTF">2018-08-09T00:54:00Z</dcterms:created>
  <dcterms:modified xsi:type="dcterms:W3CDTF">2018-08-09T00:54:00Z</dcterms:modified>
</cp:coreProperties>
</file>